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34" w:rsidRDefault="00D03734" w:rsidP="00D03734">
      <w:pPr>
        <w:pStyle w:val="a3"/>
        <w:spacing w:before="0" w:beforeAutospacing="0" w:after="0" w:afterAutospacing="0"/>
        <w:ind w:firstLine="709"/>
        <w:jc w:val="center"/>
        <w:rPr>
          <w:b/>
          <w:bCs/>
          <w:color w:val="000000"/>
          <w:sz w:val="28"/>
          <w:szCs w:val="28"/>
        </w:rPr>
      </w:pPr>
      <w:bookmarkStart w:id="0" w:name="_GoBack"/>
      <w:bookmarkEnd w:id="0"/>
      <w:r w:rsidRPr="00D03734">
        <w:rPr>
          <w:b/>
          <w:bCs/>
          <w:color w:val="000000"/>
          <w:sz w:val="28"/>
          <w:szCs w:val="28"/>
        </w:rPr>
        <w:t>Об ответственности несовершеннолетних за курение электронных сигарет</w:t>
      </w:r>
    </w:p>
    <w:p w:rsidR="00D03734" w:rsidRPr="00D03734" w:rsidRDefault="00D03734" w:rsidP="00D03734">
      <w:pPr>
        <w:pStyle w:val="a3"/>
        <w:spacing w:before="0" w:beforeAutospacing="0" w:after="0" w:afterAutospacing="0"/>
        <w:ind w:firstLine="709"/>
        <w:jc w:val="center"/>
        <w:rPr>
          <w:color w:val="000000"/>
          <w:sz w:val="28"/>
          <w:szCs w:val="28"/>
        </w:rPr>
      </w:pP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В настоящее время среди несовершеннолетн</w:t>
      </w:r>
      <w:r>
        <w:rPr>
          <w:color w:val="000000"/>
          <w:sz w:val="28"/>
          <w:szCs w:val="28"/>
        </w:rPr>
        <w:t>их набирает популярность курение</w:t>
      </w:r>
      <w:r w:rsidRPr="00D03734">
        <w:rPr>
          <w:color w:val="000000"/>
          <w:sz w:val="28"/>
          <w:szCs w:val="28"/>
        </w:rPr>
        <w:t xml:space="preserve"> электронных сигарет.</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Статьей 12 Федерального закона «Об охране здоровья граждан от воздействия окружающего табачного дыма и последствий потребления табака» установлен запрет курения табака, потребление никотинсодержащей продукции или использование кальянов на отдельных территориях, в помещениях и на объектах.</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Статья 6.24 КоАП РФ предусматривает ответственность граждан, достигших шестнадцатилетнего возраста, за нарушение вышеуказанного запрета. В соответствии с частью первой данной статьи граждане могут быть привлечены к административной ответственности в виде штрафа в сумме от пятисот до одной тысячи пятисот рублей.</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По смыслу действующего законодательства курение электронных сигарет, систем нагревания табака, а также кальянов в общественных местах в настоящее время приравнено к курению сигарет.</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Таким образом, законодателем запрещено курить на территории и помещения школ, учреждений культуры и спорта; больниц; в поездах дальнего следования, судах, находящихся в дальнем плавании, на воздушных судах, всех видах общественного транспорта; в гостиницах; торговых центрах; помещениях, занятых органами государственной власти, органами местного самоуправления; лифтах и помещениях общего пользования многоквартирных домов; на детских площадках, пляжах и других общественных местах.</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За нарушение указанного запрета подростки могут быть привлечены к административной ответственности по ст. 6.24 КоАП РФ, а их родители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за совершение которого предусмотрено наказание в виде предупреждения или штрафа в размере от ста до пятисот рублей.</w:t>
      </w:r>
    </w:p>
    <w:p w:rsidR="00D03734" w:rsidRPr="00D03734" w:rsidRDefault="00D03734" w:rsidP="00D03734">
      <w:pPr>
        <w:ind w:firstLine="709"/>
        <w:jc w:val="both"/>
        <w:rPr>
          <w:rFonts w:ascii="Times New Roman" w:hAnsi="Times New Roman" w:cs="Times New Roman"/>
          <w:sz w:val="28"/>
          <w:szCs w:val="28"/>
        </w:rPr>
      </w:pPr>
    </w:p>
    <w:p w:rsidR="00D03734" w:rsidRDefault="00D03734" w:rsidP="00D03734">
      <w:pPr>
        <w:spacing w:after="0" w:line="264" w:lineRule="atLeast"/>
        <w:ind w:firstLine="709"/>
        <w:jc w:val="both"/>
        <w:outlineLvl w:val="2"/>
        <w:rPr>
          <w:rFonts w:ascii="Times New Roman" w:eastAsia="Times New Roman" w:hAnsi="Times New Roman" w:cs="Times New Roman"/>
          <w:caps/>
          <w:color w:val="227FBC"/>
          <w:sz w:val="28"/>
          <w:szCs w:val="28"/>
        </w:rPr>
      </w:pPr>
    </w:p>
    <w:p w:rsidR="00D03734" w:rsidRDefault="00D03734" w:rsidP="00D03734">
      <w:pPr>
        <w:spacing w:after="0" w:line="264" w:lineRule="atLeast"/>
        <w:ind w:firstLine="709"/>
        <w:jc w:val="both"/>
        <w:outlineLvl w:val="2"/>
        <w:rPr>
          <w:rFonts w:ascii="Times New Roman" w:eastAsia="Times New Roman" w:hAnsi="Times New Roman" w:cs="Times New Roman"/>
          <w:caps/>
          <w:color w:val="227FBC"/>
          <w:sz w:val="28"/>
          <w:szCs w:val="28"/>
        </w:rPr>
      </w:pPr>
    </w:p>
    <w:p w:rsidR="00D03734" w:rsidRDefault="00D03734" w:rsidP="00D03734">
      <w:pPr>
        <w:spacing w:after="0" w:line="264" w:lineRule="atLeast"/>
        <w:ind w:firstLine="709"/>
        <w:jc w:val="both"/>
        <w:outlineLvl w:val="2"/>
        <w:rPr>
          <w:rFonts w:ascii="Times New Roman" w:eastAsia="Times New Roman" w:hAnsi="Times New Roman" w:cs="Times New Roman"/>
          <w:caps/>
          <w:color w:val="227FBC"/>
          <w:sz w:val="28"/>
          <w:szCs w:val="28"/>
        </w:rPr>
      </w:pPr>
    </w:p>
    <w:p w:rsidR="00D03734" w:rsidRDefault="00D03734" w:rsidP="00D03734">
      <w:pPr>
        <w:spacing w:after="0" w:line="264" w:lineRule="atLeast"/>
        <w:ind w:firstLine="709"/>
        <w:jc w:val="both"/>
        <w:outlineLvl w:val="2"/>
        <w:rPr>
          <w:rFonts w:ascii="Times New Roman" w:eastAsia="Times New Roman" w:hAnsi="Times New Roman" w:cs="Times New Roman"/>
          <w:caps/>
          <w:color w:val="227FBC"/>
          <w:sz w:val="28"/>
          <w:szCs w:val="28"/>
        </w:rPr>
      </w:pPr>
    </w:p>
    <w:p w:rsidR="00D03734" w:rsidRDefault="00D03734" w:rsidP="00D03734">
      <w:pPr>
        <w:spacing w:after="0" w:line="264" w:lineRule="atLeast"/>
        <w:ind w:firstLine="709"/>
        <w:jc w:val="both"/>
        <w:outlineLvl w:val="2"/>
        <w:rPr>
          <w:rFonts w:ascii="Times New Roman" w:eastAsia="Times New Roman" w:hAnsi="Times New Roman" w:cs="Times New Roman"/>
          <w:caps/>
          <w:color w:val="227FBC"/>
          <w:sz w:val="28"/>
          <w:szCs w:val="28"/>
        </w:rPr>
      </w:pPr>
    </w:p>
    <w:p w:rsidR="00D03734" w:rsidRDefault="00D03734" w:rsidP="00D03734">
      <w:pPr>
        <w:spacing w:after="0" w:line="264" w:lineRule="atLeast"/>
        <w:ind w:firstLine="709"/>
        <w:jc w:val="both"/>
        <w:outlineLvl w:val="2"/>
        <w:rPr>
          <w:rFonts w:ascii="Times New Roman" w:eastAsia="Times New Roman" w:hAnsi="Times New Roman" w:cs="Times New Roman"/>
          <w:caps/>
          <w:color w:val="227FBC"/>
          <w:sz w:val="28"/>
          <w:szCs w:val="28"/>
        </w:rPr>
      </w:pPr>
    </w:p>
    <w:p w:rsidR="00D03734" w:rsidRDefault="00D03734" w:rsidP="00D03734">
      <w:pPr>
        <w:spacing w:after="0" w:line="264" w:lineRule="atLeast"/>
        <w:ind w:firstLine="709"/>
        <w:jc w:val="both"/>
        <w:outlineLvl w:val="2"/>
        <w:rPr>
          <w:rFonts w:ascii="Times New Roman" w:eastAsia="Times New Roman" w:hAnsi="Times New Roman" w:cs="Times New Roman"/>
          <w:caps/>
          <w:color w:val="227FBC"/>
          <w:sz w:val="28"/>
          <w:szCs w:val="28"/>
        </w:rPr>
      </w:pPr>
    </w:p>
    <w:p w:rsidR="00D03734" w:rsidRDefault="00D03734" w:rsidP="00D03734">
      <w:pPr>
        <w:spacing w:after="0" w:line="264" w:lineRule="atLeast"/>
        <w:ind w:firstLine="709"/>
        <w:jc w:val="both"/>
        <w:outlineLvl w:val="2"/>
        <w:rPr>
          <w:rFonts w:ascii="Times New Roman" w:eastAsia="Times New Roman" w:hAnsi="Times New Roman" w:cs="Times New Roman"/>
          <w:caps/>
          <w:color w:val="227FBC"/>
          <w:sz w:val="28"/>
          <w:szCs w:val="28"/>
        </w:rPr>
      </w:pPr>
    </w:p>
    <w:p w:rsidR="00D03734" w:rsidRPr="00D03734" w:rsidRDefault="00D03734" w:rsidP="00D03734">
      <w:pPr>
        <w:spacing w:after="0" w:line="264" w:lineRule="atLeast"/>
        <w:ind w:firstLine="709"/>
        <w:jc w:val="both"/>
        <w:outlineLvl w:val="2"/>
        <w:rPr>
          <w:rFonts w:ascii="Times New Roman" w:eastAsia="Times New Roman" w:hAnsi="Times New Roman" w:cs="Times New Roman"/>
          <w:caps/>
          <w:color w:val="227FBC"/>
          <w:sz w:val="28"/>
          <w:szCs w:val="28"/>
        </w:rPr>
      </w:pPr>
    </w:p>
    <w:p w:rsidR="00D03734" w:rsidRDefault="00D03734" w:rsidP="00D03734">
      <w:pPr>
        <w:spacing w:after="0" w:line="240" w:lineRule="auto"/>
        <w:ind w:firstLine="709"/>
        <w:jc w:val="center"/>
        <w:rPr>
          <w:rFonts w:ascii="Times New Roman" w:eastAsia="Times New Roman" w:hAnsi="Times New Roman" w:cs="Times New Roman"/>
          <w:b/>
          <w:color w:val="000000"/>
          <w:sz w:val="28"/>
          <w:szCs w:val="28"/>
        </w:rPr>
      </w:pPr>
      <w:r w:rsidRPr="00D03734">
        <w:rPr>
          <w:rFonts w:ascii="Times New Roman" w:eastAsia="Times New Roman" w:hAnsi="Times New Roman" w:cs="Times New Roman"/>
          <w:b/>
          <w:color w:val="000000"/>
          <w:sz w:val="28"/>
          <w:szCs w:val="28"/>
        </w:rPr>
        <w:lastRenderedPageBreak/>
        <w:t>Об ответственности за распространение материалов экстремист</w:t>
      </w:r>
      <w:r>
        <w:rPr>
          <w:rFonts w:ascii="Times New Roman" w:eastAsia="Times New Roman" w:hAnsi="Times New Roman" w:cs="Times New Roman"/>
          <w:b/>
          <w:color w:val="000000"/>
          <w:sz w:val="28"/>
          <w:szCs w:val="28"/>
        </w:rPr>
        <w:t>с</w:t>
      </w:r>
      <w:r w:rsidRPr="00D03734">
        <w:rPr>
          <w:rFonts w:ascii="Times New Roman" w:eastAsia="Times New Roman" w:hAnsi="Times New Roman" w:cs="Times New Roman"/>
          <w:b/>
          <w:color w:val="000000"/>
          <w:sz w:val="28"/>
          <w:szCs w:val="28"/>
        </w:rPr>
        <w:t>кого характера</w:t>
      </w:r>
    </w:p>
    <w:p w:rsidR="00D03734" w:rsidRPr="00D03734" w:rsidRDefault="00D03734" w:rsidP="00D03734">
      <w:pPr>
        <w:spacing w:after="0" w:line="240" w:lineRule="auto"/>
        <w:ind w:firstLine="709"/>
        <w:jc w:val="center"/>
        <w:rPr>
          <w:rFonts w:ascii="Times New Roman" w:eastAsia="Times New Roman" w:hAnsi="Times New Roman" w:cs="Times New Roman"/>
          <w:b/>
          <w:color w:val="000000"/>
          <w:sz w:val="28"/>
          <w:szCs w:val="28"/>
        </w:rPr>
      </w:pPr>
    </w:p>
    <w:p w:rsidR="00D03734" w:rsidRPr="00D03734" w:rsidRDefault="00D03734" w:rsidP="00D03734">
      <w:pPr>
        <w:spacing w:after="0" w:line="240" w:lineRule="auto"/>
        <w:ind w:firstLine="709"/>
        <w:jc w:val="both"/>
        <w:rPr>
          <w:rFonts w:ascii="Times New Roman" w:eastAsia="Times New Roman" w:hAnsi="Times New Roman" w:cs="Times New Roman"/>
          <w:color w:val="000000"/>
          <w:sz w:val="28"/>
          <w:szCs w:val="28"/>
        </w:rPr>
      </w:pPr>
      <w:r w:rsidRPr="00D03734">
        <w:rPr>
          <w:rFonts w:ascii="Times New Roman" w:eastAsia="Times New Roman" w:hAnsi="Times New Roman" w:cs="Times New Roman"/>
          <w:color w:val="000000"/>
          <w:sz w:val="28"/>
          <w:szCs w:val="28"/>
        </w:rPr>
        <w:t>Согласно действующему законодательству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D03734" w:rsidRPr="00D03734" w:rsidRDefault="00D03734" w:rsidP="00D03734">
      <w:pPr>
        <w:spacing w:after="0" w:line="240" w:lineRule="auto"/>
        <w:ind w:firstLine="709"/>
        <w:jc w:val="both"/>
        <w:rPr>
          <w:rFonts w:ascii="Times New Roman" w:eastAsia="Times New Roman" w:hAnsi="Times New Roman" w:cs="Times New Roman"/>
          <w:color w:val="000000"/>
          <w:sz w:val="28"/>
          <w:szCs w:val="28"/>
        </w:rPr>
      </w:pPr>
      <w:r w:rsidRPr="00D03734">
        <w:rPr>
          <w:rFonts w:ascii="Times New Roman" w:eastAsia="Times New Roman" w:hAnsi="Times New Roman" w:cs="Times New Roman"/>
          <w:color w:val="000000"/>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D03734" w:rsidRPr="00D03734" w:rsidRDefault="00D03734" w:rsidP="00D03734">
      <w:pPr>
        <w:spacing w:after="0" w:line="240" w:lineRule="auto"/>
        <w:ind w:firstLine="709"/>
        <w:jc w:val="both"/>
        <w:rPr>
          <w:rFonts w:ascii="Times New Roman" w:eastAsia="Times New Roman" w:hAnsi="Times New Roman" w:cs="Times New Roman"/>
          <w:color w:val="000000"/>
          <w:sz w:val="28"/>
          <w:szCs w:val="28"/>
        </w:rPr>
      </w:pPr>
      <w:r w:rsidRPr="00D03734">
        <w:rPr>
          <w:rFonts w:ascii="Times New Roman" w:eastAsia="Times New Roman" w:hAnsi="Times New Roman" w:cs="Times New Roman"/>
          <w:color w:val="000000"/>
          <w:sz w:val="28"/>
          <w:szCs w:val="28"/>
        </w:rPr>
        <w:t>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предусмотрена административная ответственность по статье 20.29 Кодекса Российской Федерации об административных правонарушениях. Указанное правонарушение влечет за собой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D03734" w:rsidRPr="00D03734" w:rsidRDefault="00D03734" w:rsidP="00D03734">
      <w:pPr>
        <w:spacing w:after="0" w:line="240" w:lineRule="auto"/>
        <w:ind w:firstLine="709"/>
        <w:jc w:val="both"/>
        <w:rPr>
          <w:rFonts w:ascii="Times New Roman" w:eastAsia="Times New Roman" w:hAnsi="Times New Roman" w:cs="Times New Roman"/>
          <w:color w:val="000000"/>
          <w:sz w:val="28"/>
          <w:szCs w:val="28"/>
        </w:rPr>
      </w:pPr>
      <w:r w:rsidRPr="00D03734">
        <w:rPr>
          <w:rFonts w:ascii="Times New Roman" w:eastAsia="Times New Roman" w:hAnsi="Times New Roman" w:cs="Times New Roman"/>
          <w:color w:val="000000"/>
          <w:sz w:val="28"/>
          <w:szCs w:val="28"/>
        </w:rPr>
        <w:t>Полномочия по составлению протоколов об административных правонарушениях по статье 20.29 Кодекса Российской Федерации об административных правонарушениях возложены на должностных лиц органов внутренних дела (полиции).</w:t>
      </w:r>
    </w:p>
    <w:p w:rsidR="00D03734" w:rsidRPr="00D03734" w:rsidRDefault="00D03734" w:rsidP="00D03734">
      <w:pPr>
        <w:ind w:firstLine="709"/>
        <w:jc w:val="both"/>
        <w:rPr>
          <w:rFonts w:ascii="Times New Roman" w:hAnsi="Times New Roman" w:cs="Times New Roman"/>
          <w:sz w:val="28"/>
          <w:szCs w:val="28"/>
        </w:rPr>
      </w:pPr>
    </w:p>
    <w:p w:rsidR="00D03734" w:rsidRDefault="00D03734" w:rsidP="00D03734">
      <w:pPr>
        <w:ind w:firstLine="709"/>
        <w:jc w:val="both"/>
        <w:rPr>
          <w:rFonts w:ascii="Times New Roman" w:hAnsi="Times New Roman" w:cs="Times New Roman"/>
          <w:sz w:val="28"/>
          <w:szCs w:val="28"/>
        </w:rPr>
      </w:pPr>
    </w:p>
    <w:p w:rsidR="00D03734" w:rsidRDefault="00D03734" w:rsidP="00D03734">
      <w:pPr>
        <w:ind w:firstLine="709"/>
        <w:jc w:val="both"/>
        <w:rPr>
          <w:rFonts w:ascii="Times New Roman" w:hAnsi="Times New Roman" w:cs="Times New Roman"/>
          <w:sz w:val="28"/>
          <w:szCs w:val="28"/>
        </w:rPr>
      </w:pPr>
    </w:p>
    <w:p w:rsidR="00D03734" w:rsidRDefault="00D03734" w:rsidP="00D03734">
      <w:pPr>
        <w:ind w:firstLine="709"/>
        <w:jc w:val="both"/>
        <w:rPr>
          <w:rFonts w:ascii="Times New Roman" w:hAnsi="Times New Roman" w:cs="Times New Roman"/>
          <w:sz w:val="28"/>
          <w:szCs w:val="28"/>
        </w:rPr>
      </w:pPr>
    </w:p>
    <w:p w:rsidR="00D03734" w:rsidRDefault="00D03734" w:rsidP="00D03734">
      <w:pPr>
        <w:ind w:firstLine="709"/>
        <w:jc w:val="both"/>
        <w:rPr>
          <w:rFonts w:ascii="Times New Roman" w:hAnsi="Times New Roman" w:cs="Times New Roman"/>
          <w:sz w:val="28"/>
          <w:szCs w:val="28"/>
        </w:rPr>
      </w:pPr>
    </w:p>
    <w:p w:rsidR="00D03734" w:rsidRPr="00D03734" w:rsidRDefault="00D03734" w:rsidP="00D03734">
      <w:pPr>
        <w:ind w:firstLine="709"/>
        <w:jc w:val="both"/>
        <w:rPr>
          <w:rFonts w:ascii="Times New Roman" w:hAnsi="Times New Roman" w:cs="Times New Roman"/>
          <w:sz w:val="28"/>
          <w:szCs w:val="28"/>
        </w:rPr>
      </w:pPr>
    </w:p>
    <w:p w:rsidR="00D03734" w:rsidRDefault="00D03734" w:rsidP="00D03734">
      <w:pPr>
        <w:pStyle w:val="a3"/>
        <w:spacing w:before="0" w:beforeAutospacing="0" w:after="0" w:afterAutospacing="0"/>
        <w:ind w:firstLine="709"/>
        <w:jc w:val="center"/>
        <w:rPr>
          <w:b/>
          <w:color w:val="000000"/>
          <w:sz w:val="28"/>
          <w:szCs w:val="28"/>
        </w:rPr>
      </w:pPr>
      <w:r w:rsidRPr="00D03734">
        <w:rPr>
          <w:b/>
          <w:color w:val="000000"/>
          <w:sz w:val="28"/>
          <w:szCs w:val="28"/>
        </w:rPr>
        <w:lastRenderedPageBreak/>
        <w:t>Об уголовной ответственности за незаконные действия со средствами материнского (семейного) капитала</w:t>
      </w:r>
    </w:p>
    <w:p w:rsidR="00D03734" w:rsidRPr="00D03734" w:rsidRDefault="00D03734" w:rsidP="00D03734">
      <w:pPr>
        <w:pStyle w:val="a3"/>
        <w:spacing w:before="0" w:beforeAutospacing="0" w:after="0" w:afterAutospacing="0"/>
        <w:ind w:firstLine="709"/>
        <w:jc w:val="center"/>
        <w:rPr>
          <w:b/>
          <w:color w:val="000000"/>
          <w:sz w:val="28"/>
          <w:szCs w:val="28"/>
        </w:rPr>
      </w:pP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Материнский капитал – одна из самых распространенных мер государственной поддержки семьи и материнства.</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Федеральным законом «О дополнительных мерах государственной поддержки семей, имеющих детей» предусмотрены способы использования средств материнского (семейного) капитала и их строго целевое назначение.</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Любые способы, позволяющие «обналичить» средства материнского (семейного) капитала, незаконны и преследуются уголовным законом.</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В этой связи, ст. 159.2 Уголовного кодекса РФ предусматривает уголовную ответственность за мошенничество при получении выплат,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К примеру, направление средств материнского капитала на приобретение непригодного для проживания жилого помещения не соответствует целевому назначению этих средств и не способствует созданию детям надлежащих условий, обеспечивающих их достойную жизнь, что влечет предусмотренную ответственность по ст. 159.2 УК РФ, а также является основанием для взыскания с «мошенника» денежных средств материнского (семейного) капитала в пользу Пенсионного фонда РФ.</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Распространенной схемой мошенничества со средствами материнского капитала являются получение материнского капитала лицами, не имеющими на это законных прав (подделка свидетельства о рождении ребенка); сообщение заведомо ложных сведений о себе и своей семье при подаче заявления в Пенсионный фонд РФ, либо сокрытие информации, которая запрещает получение материнского капитала; приобретение недвижимого имущества под видом жилого помещения, а также предоставление недостоверных, подложных документов при оформлении материнского капитала.</w:t>
      </w: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both"/>
        <w:rPr>
          <w:color w:val="000000"/>
          <w:sz w:val="28"/>
          <w:szCs w:val="28"/>
        </w:rPr>
      </w:pPr>
    </w:p>
    <w:p w:rsidR="00D03734" w:rsidRDefault="00D03734" w:rsidP="00D03734">
      <w:pPr>
        <w:pStyle w:val="a3"/>
        <w:spacing w:before="0" w:beforeAutospacing="0" w:after="0" w:afterAutospacing="0"/>
        <w:ind w:firstLine="709"/>
        <w:jc w:val="center"/>
        <w:rPr>
          <w:b/>
          <w:color w:val="000000"/>
          <w:sz w:val="28"/>
          <w:szCs w:val="28"/>
        </w:rPr>
      </w:pPr>
      <w:r w:rsidRPr="00D03734">
        <w:rPr>
          <w:b/>
          <w:color w:val="000000"/>
          <w:sz w:val="28"/>
          <w:szCs w:val="28"/>
        </w:rPr>
        <w:lastRenderedPageBreak/>
        <w:t>Основания привлечения работников к работе в выходные и праздничные дни</w:t>
      </w:r>
    </w:p>
    <w:p w:rsidR="00D03734" w:rsidRPr="00D03734" w:rsidRDefault="00D03734" w:rsidP="00D03734">
      <w:pPr>
        <w:pStyle w:val="a3"/>
        <w:spacing w:before="0" w:beforeAutospacing="0" w:after="0" w:afterAutospacing="0"/>
        <w:ind w:firstLine="709"/>
        <w:jc w:val="center"/>
        <w:rPr>
          <w:b/>
          <w:color w:val="000000"/>
          <w:sz w:val="28"/>
          <w:szCs w:val="28"/>
        </w:rPr>
      </w:pPr>
    </w:p>
    <w:p w:rsidR="00D03734" w:rsidRPr="00D03734" w:rsidRDefault="00D03734" w:rsidP="00D03734">
      <w:pPr>
        <w:pStyle w:val="a3"/>
        <w:spacing w:before="0" w:beforeAutospacing="0" w:after="0" w:afterAutospacing="0"/>
        <w:ind w:firstLine="709"/>
        <w:jc w:val="both"/>
        <w:rPr>
          <w:color w:val="000000"/>
          <w:sz w:val="28"/>
          <w:szCs w:val="28"/>
        </w:rPr>
      </w:pPr>
      <w:r w:rsidRPr="00D03734">
        <w:rPr>
          <w:sz w:val="28"/>
          <w:szCs w:val="28"/>
        </w:rPr>
        <w:t>Согласно ст.113 Трудового кодекса Российской Федерации работа в выходные и нерабочие праздничные дни запрещается, за исключением </w:t>
      </w:r>
      <w:hyperlink r:id="rId5" w:anchor="dst100045" w:history="1">
        <w:r w:rsidRPr="00D03734">
          <w:rPr>
            <w:rStyle w:val="a4"/>
            <w:color w:val="auto"/>
            <w:sz w:val="28"/>
            <w:szCs w:val="28"/>
            <w:u w:val="none"/>
          </w:rPr>
          <w:t>случаев</w:t>
        </w:r>
      </w:hyperlink>
      <w:r w:rsidRPr="00D03734">
        <w:rPr>
          <w:sz w:val="28"/>
          <w:szCs w:val="28"/>
        </w:rPr>
        <w:t xml:space="preserve">, предусмотренных Трудовым Кодексом Российской Федерации.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 Привлечение </w:t>
      </w:r>
      <w:r w:rsidRPr="00D03734">
        <w:rPr>
          <w:color w:val="000000"/>
          <w:sz w:val="28"/>
          <w:szCs w:val="28"/>
        </w:rPr>
        <w:t>работников к работе в выходные и нерабочие праздничные дни производится по письменному распоряжению работодателя.</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Привлечение работников к работе в выходные и нерабочие праздничные дни без их согласия допускается в следующих случаях:</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6" w:anchor="dst100009" w:history="1">
        <w:r w:rsidRPr="00D03734">
          <w:rPr>
            <w:rStyle w:val="a4"/>
            <w:color w:val="454545"/>
            <w:sz w:val="28"/>
            <w:szCs w:val="28"/>
          </w:rPr>
          <w:t>порядке</w:t>
        </w:r>
      </w:hyperlink>
      <w:r w:rsidRPr="00D03734">
        <w:rPr>
          <w:color w:val="000000"/>
          <w:sz w:val="28"/>
          <w:szCs w:val="28"/>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a3"/>
        <w:spacing w:before="0" w:beforeAutospacing="0" w:after="0" w:afterAutospacing="0"/>
        <w:ind w:firstLine="709"/>
        <w:jc w:val="center"/>
        <w:rPr>
          <w:b/>
          <w:color w:val="000000"/>
          <w:sz w:val="28"/>
          <w:szCs w:val="28"/>
        </w:rPr>
      </w:pPr>
      <w:r w:rsidRPr="00D03734">
        <w:rPr>
          <w:b/>
          <w:color w:val="000000"/>
          <w:sz w:val="28"/>
          <w:szCs w:val="28"/>
        </w:rPr>
        <w:t>Права инвалидов на санаторно-курортное лечение</w:t>
      </w:r>
    </w:p>
    <w:p w:rsidR="00D03734" w:rsidRPr="00D03734" w:rsidRDefault="00D03734" w:rsidP="00D03734">
      <w:pPr>
        <w:pStyle w:val="a3"/>
        <w:spacing w:before="0" w:beforeAutospacing="0" w:after="0" w:afterAutospacing="0"/>
        <w:ind w:firstLine="709"/>
        <w:jc w:val="center"/>
        <w:rPr>
          <w:b/>
          <w:color w:val="000000"/>
          <w:sz w:val="28"/>
          <w:szCs w:val="28"/>
        </w:rPr>
      </w:pP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Федеральным законом от 17.07.1999 № 178-ФЗ «О государственной социальной помощи» определен набор социальных услуг, предоставляемый отдельным категориям граждан, в том числе инвалидам, детям-инвалидам и инвалидам войны.</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Такие граждане имеют право на предоставление им государством социальных услуг в виде обеспечения в соответствии со стандартами медицинской помощи лекарственными препаратами и медицинскими изделиями по рецептам, а также специализированными продуктами лечебного питания для детей-инвалидов.</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Помимо прочего, указанная категория граждан имеет право на предоставление при наличии на то медицинских показаний путевки на санаторно-курортное лечение в организациях, с которыми государством заключены контракты, с оплатой проезда лица к месту лечения и обратно.</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Кроме того, граждане, имеющие 1 группу инвалидности, и дети-инвалиды имеют право на тех же условиях получить вторую путевку на санаторно-курортное лечение и на бесплатный проезд к месту лечения для сопровождающих их лиц.</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Важно отметить, что такая путевка выдается при отсутствии противопоказаний у лица, имеющего права на ее предоставление.</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Для получения путевки граждане указанной категории должны обратиться в медицинскую организацию к лечащему врачу для оформления направления на врачебную комиссию.</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По результатам комиссионного изучения медицинской документации и состояния здоровья гражданина ему выдается заключение о показании либо противопоказании санаторно-курортного лечения.</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На основании данного заключения при отсутствии противопоказаний лечащий врач выдает справку с рекомендацией на лечение, срок действия которой составляет 6 месяцев.</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После получения необходимых медицинских документов лицо вправе обратиться с заявлением на предоставление путевки в территориальный орган Федерального фонда социального страхования (далее – ФСС) либо в уполномоченный на оказание мер социальной поддержки орган, приложив полученные справки врача.</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Заявление можно подать также через многофункциональные центры (МФЦ), направить по почте в ФСС или в электронной форме через личный кабинет Единого портала государственных услуг.</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По результатам рассмотрения заявления территориальный орган ФСС в порядке очереди (без права на льготное получение вне очереди) выдает путевку на санаторно-курортное лечение, но не позднее 18 дней до даты заезда (для детей-инвалидов и инвалидов с травмами спинного и головного мозга не позднее 21 дня).</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Также заявителю предоставляются специальные талоны на право бесплатного получения проездных документов в поезде дальнего следования или направление на бесплатное приобретение билетов на авиационный, автомобильный и водный транспорт. Такие талоны выдаются на каждый необходимый вид транспорта.</w:t>
      </w:r>
    </w:p>
    <w:p w:rsidR="00D03734" w:rsidRDefault="00D03734" w:rsidP="00D03734">
      <w:pPr>
        <w:pStyle w:val="3"/>
        <w:spacing w:before="0" w:beforeAutospacing="0" w:after="0" w:afterAutospacing="0" w:line="264" w:lineRule="atLeast"/>
        <w:ind w:firstLine="709"/>
        <w:jc w:val="both"/>
        <w:rPr>
          <w:b w:val="0"/>
          <w:bCs w:val="0"/>
          <w:caps/>
          <w:color w:val="227FBC"/>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p>
    <w:p w:rsidR="00D03734" w:rsidRDefault="00D03734" w:rsidP="00D03734">
      <w:pPr>
        <w:pStyle w:val="a3"/>
        <w:spacing w:before="0" w:beforeAutospacing="0" w:after="0" w:afterAutospacing="0"/>
        <w:ind w:firstLine="709"/>
        <w:jc w:val="center"/>
        <w:rPr>
          <w:b/>
          <w:bCs/>
          <w:color w:val="000000"/>
          <w:sz w:val="28"/>
          <w:szCs w:val="28"/>
        </w:rPr>
      </w:pPr>
      <w:r w:rsidRPr="00D03734">
        <w:rPr>
          <w:b/>
          <w:bCs/>
          <w:color w:val="000000"/>
          <w:sz w:val="28"/>
          <w:szCs w:val="28"/>
        </w:rPr>
        <w:t>Граждане и юридические лица имеют право на получение информации о деятельности органов государственной власти и местного самоуправления</w:t>
      </w:r>
    </w:p>
    <w:p w:rsidR="00D03734" w:rsidRPr="00D03734" w:rsidRDefault="00D03734" w:rsidP="00D03734">
      <w:pPr>
        <w:pStyle w:val="a3"/>
        <w:spacing w:before="0" w:beforeAutospacing="0" w:after="0" w:afterAutospacing="0"/>
        <w:ind w:firstLine="709"/>
        <w:jc w:val="center"/>
        <w:rPr>
          <w:color w:val="000000"/>
          <w:sz w:val="28"/>
          <w:szCs w:val="28"/>
        </w:rPr>
      </w:pP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любой желающий может получить информацию о деятельности органов государственной власти и местного самоуправления.</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Доступ к информации обеспечивается различными способами, в том числе путем:</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1) обнародования (опубликования) информации в средствах массовой информации;</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2) размещения информации в сети «Интернет»;</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3) размещения информации в помещениях, занимаемых указанными органами;</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4) предоставления информации по запросу пользователей.</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Подробная информация о работе органов государственной власти и местного самоуправления в обязательном порядке размещается на их официальных сайтах в сети «Интернет».</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Вместе с тем, любой желающий, в том числе и через полномочного представителя, может обратиться устно либо письменно непосредственно в тот орган власти, информацию о котором намерен получить.</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В письменном запросе в обязательном порядке необходимо указать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фамилию, имя и отчество гражданина (физического лица) либо наименование организации (юридического лица), запрашивающих информацию, равно как и наименование государственного органа или органа местного самоуправления, в которые направляется запрос, либо фамилию и инициалы или должность соответствующего должностного лица. Анонимные запросы не рассматриваются.</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Запрос подлежит рассмотрению в тридцатидневный срок со дня его регистрации.</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Федеральным законом предусмотрены основания, исключающие возможность предоставления информации.</w:t>
      </w:r>
    </w:p>
    <w:p w:rsidR="00D03734" w:rsidRPr="00D03734" w:rsidRDefault="00D03734" w:rsidP="00D03734">
      <w:pPr>
        <w:pStyle w:val="a3"/>
        <w:spacing w:before="0" w:beforeAutospacing="0" w:after="0" w:afterAutospacing="0"/>
        <w:ind w:firstLine="709"/>
        <w:jc w:val="both"/>
        <w:rPr>
          <w:color w:val="000000"/>
          <w:sz w:val="28"/>
          <w:szCs w:val="28"/>
        </w:rPr>
      </w:pPr>
      <w:r w:rsidRPr="00D03734">
        <w:rPr>
          <w:color w:val="000000"/>
          <w:sz w:val="28"/>
          <w:szCs w:val="28"/>
        </w:rPr>
        <w:t>За неправомерный отказ в предоставлении гражданину и (или) организации информации, несвоевременное ее предоставление либо предоставление заведомо недостоверной информации установлена административная ответственность в соответствии со ст. 5.39 КоАП РФ.</w:t>
      </w:r>
    </w:p>
    <w:p w:rsidR="00323665" w:rsidRDefault="007961F4"/>
    <w:sectPr w:rsidR="00323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1F"/>
    <w:rsid w:val="00652EC0"/>
    <w:rsid w:val="007961F4"/>
    <w:rsid w:val="00A51C1F"/>
    <w:rsid w:val="00D03734"/>
    <w:rsid w:val="00E0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34"/>
    <w:pPr>
      <w:spacing w:after="200" w:line="276" w:lineRule="auto"/>
    </w:pPr>
    <w:rPr>
      <w:rFonts w:eastAsiaTheme="minorEastAsia"/>
      <w:lang w:eastAsia="ru-RU"/>
    </w:rPr>
  </w:style>
  <w:style w:type="paragraph" w:styleId="3">
    <w:name w:val="heading 3"/>
    <w:basedOn w:val="a"/>
    <w:link w:val="30"/>
    <w:uiPriority w:val="9"/>
    <w:qFormat/>
    <w:rsid w:val="00D037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373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037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03734"/>
    <w:rPr>
      <w:color w:val="0000FF"/>
      <w:u w:val="single"/>
    </w:rPr>
  </w:style>
  <w:style w:type="paragraph" w:styleId="a5">
    <w:name w:val="Balloon Text"/>
    <w:basedOn w:val="a"/>
    <w:link w:val="a6"/>
    <w:uiPriority w:val="99"/>
    <w:semiHidden/>
    <w:unhideWhenUsed/>
    <w:rsid w:val="00D037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3734"/>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34"/>
    <w:pPr>
      <w:spacing w:after="200" w:line="276" w:lineRule="auto"/>
    </w:pPr>
    <w:rPr>
      <w:rFonts w:eastAsiaTheme="minorEastAsia"/>
      <w:lang w:eastAsia="ru-RU"/>
    </w:rPr>
  </w:style>
  <w:style w:type="paragraph" w:styleId="3">
    <w:name w:val="heading 3"/>
    <w:basedOn w:val="a"/>
    <w:link w:val="30"/>
    <w:uiPriority w:val="9"/>
    <w:qFormat/>
    <w:rsid w:val="00D037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373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037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03734"/>
    <w:rPr>
      <w:color w:val="0000FF"/>
      <w:u w:val="single"/>
    </w:rPr>
  </w:style>
  <w:style w:type="paragraph" w:styleId="a5">
    <w:name w:val="Balloon Text"/>
    <w:basedOn w:val="a"/>
    <w:link w:val="a6"/>
    <w:uiPriority w:val="99"/>
    <w:semiHidden/>
    <w:unhideWhenUsed/>
    <w:rsid w:val="00D037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373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30508/" TargetMode="External"/><Relationship Id="rId5" Type="http://schemas.openxmlformats.org/officeDocument/2006/relationships/hyperlink" Target="http://www.consultant.ru/document/cons_doc_LAW_1651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Воронкова Диана Владиславовна</dc:creator>
  <cp:lastModifiedBy>Маскина</cp:lastModifiedBy>
  <cp:revision>2</cp:revision>
  <cp:lastPrinted>2023-02-03T13:19:00Z</cp:lastPrinted>
  <dcterms:created xsi:type="dcterms:W3CDTF">2023-02-06T09:14:00Z</dcterms:created>
  <dcterms:modified xsi:type="dcterms:W3CDTF">2023-02-06T09:14:00Z</dcterms:modified>
</cp:coreProperties>
</file>